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D2" w:rsidRDefault="00FB54D2" w:rsidP="00FB1559">
      <w:pPr>
        <w:pStyle w:val="Titre1"/>
      </w:pPr>
      <w:bookmarkStart w:id="0" w:name="_Toc39743149"/>
      <w:r>
        <w:t>Directive int</w:t>
      </w:r>
      <w:bookmarkStart w:id="1" w:name="_GoBack"/>
      <w:bookmarkEnd w:id="1"/>
      <w:r>
        <w:t>erne de sécurité en lien avec le DEP</w:t>
      </w:r>
    </w:p>
    <w:p w:rsidR="003D4139" w:rsidRDefault="001E111C" w:rsidP="00FB54D2">
      <w:pPr>
        <w:pStyle w:val="Titre2"/>
      </w:pPr>
      <w:r>
        <w:t>Introduction</w:t>
      </w:r>
      <w:bookmarkEnd w:id="0"/>
    </w:p>
    <w:p w:rsidR="001E111C" w:rsidRDefault="001E111C" w:rsidP="001E111C">
      <w:r>
        <w:t xml:space="preserve">Le présent document a pour but de décrire la nécessité de tenir une directive interne relative à la sécurité et à la protection des données dans le cadre de l’utilisation du Dossier Électronique du Patient (DEP), ainsi que de lister les différentes directives, processus et procédures appliquées par </w:t>
      </w:r>
      <w:r w:rsidRPr="001E111C">
        <w:rPr>
          <w:highlight w:val="yellow"/>
        </w:rPr>
        <w:t>[Nom de l’institution]</w:t>
      </w:r>
      <w:r>
        <w:t>.</w:t>
      </w:r>
    </w:p>
    <w:p w:rsidR="001E111C" w:rsidRDefault="001E111C" w:rsidP="00FB54D2">
      <w:pPr>
        <w:pStyle w:val="Titre2"/>
      </w:pPr>
      <w:r>
        <w:t>Principes généraux</w:t>
      </w:r>
    </w:p>
    <w:p w:rsidR="001E111C" w:rsidRDefault="001E111C" w:rsidP="001E111C">
      <w:r>
        <w:t>Tous les documents devant être communiqués à la CR DEP NE (communauté proposant « Mon Dossier Santé », le DEP neuchâtelois) font partie intégrante de cette directive de sécurité en lien avec le DEP.</w:t>
      </w:r>
      <w:r w:rsidR="002B4D06">
        <w:t xml:space="preserve"> </w:t>
      </w:r>
      <w:r w:rsidR="009B6DE8">
        <w:t>Cela</w:t>
      </w:r>
      <w:r w:rsidR="002B4D06">
        <w:t xml:space="preserve"> comprend notamment, mais n’est pas limitée à :</w:t>
      </w:r>
    </w:p>
    <w:p w:rsidR="002B4D06" w:rsidRDefault="009B6DE8" w:rsidP="002B4D06">
      <w:pPr>
        <w:pStyle w:val="Paragraphedeliste"/>
        <w:numPr>
          <w:ilvl w:val="0"/>
          <w:numId w:val="1"/>
        </w:numPr>
      </w:pPr>
      <w:r>
        <w:t>L</w:t>
      </w:r>
      <w:r w:rsidR="002B4D06">
        <w:t>iste des coordonnées des responsables au sein de l’institution (annonces, formation, sécurité)</w:t>
      </w:r>
    </w:p>
    <w:p w:rsidR="002B4D06" w:rsidRDefault="009B6DE8" w:rsidP="002B4D06">
      <w:pPr>
        <w:pStyle w:val="Paragraphedeliste"/>
        <w:numPr>
          <w:ilvl w:val="0"/>
          <w:numId w:val="1"/>
        </w:numPr>
      </w:pPr>
      <w:r>
        <w:t>P</w:t>
      </w:r>
      <w:r w:rsidR="002B4D06">
        <w:t>rocessus d’entrée, de gestion et de sortie des utilisateurs du DEP</w:t>
      </w:r>
    </w:p>
    <w:p w:rsidR="002B4D06" w:rsidRDefault="009B6DE8" w:rsidP="002B4D06">
      <w:pPr>
        <w:pStyle w:val="Paragraphedeliste"/>
        <w:numPr>
          <w:ilvl w:val="0"/>
          <w:numId w:val="1"/>
        </w:numPr>
      </w:pPr>
      <w:r>
        <w:t>E</w:t>
      </w:r>
      <w:r w:rsidR="002B4D06">
        <w:t>ngagements individuels à l’usage du DEP signés par chaque utilisateur</w:t>
      </w:r>
    </w:p>
    <w:p w:rsidR="002B4D06" w:rsidRDefault="009B6DE8" w:rsidP="002B4D06">
      <w:pPr>
        <w:pStyle w:val="Paragraphedeliste"/>
        <w:numPr>
          <w:ilvl w:val="0"/>
          <w:numId w:val="1"/>
        </w:numPr>
      </w:pPr>
      <w:r>
        <w:t>D</w:t>
      </w:r>
      <w:r w:rsidR="002B4D06">
        <w:t>ocument prouvant que les utilisateurs du DEP sont soumis au secret médical et/ou professionnel (p. ex. contrat de travail type)</w:t>
      </w:r>
    </w:p>
    <w:p w:rsidR="002B4D06" w:rsidRDefault="009B6DE8" w:rsidP="002B4D06">
      <w:pPr>
        <w:pStyle w:val="Paragraphedeliste"/>
        <w:numPr>
          <w:ilvl w:val="0"/>
          <w:numId w:val="1"/>
        </w:numPr>
      </w:pPr>
      <w:r>
        <w:t>A</w:t>
      </w:r>
      <w:r w:rsidR="002B4D06">
        <w:t>ccord avec un fournisseur de moyen d’identification électronique (MIE)</w:t>
      </w:r>
      <w:r>
        <w:t xml:space="preserve"> </w:t>
      </w:r>
      <w:r w:rsidR="002B4D06">
        <w:t>(p. ex. contrat de prestations)</w:t>
      </w:r>
    </w:p>
    <w:p w:rsidR="009B6DE8" w:rsidRDefault="009B6DE8" w:rsidP="002B4D06">
      <w:pPr>
        <w:pStyle w:val="Paragraphedeliste"/>
        <w:numPr>
          <w:ilvl w:val="0"/>
          <w:numId w:val="1"/>
        </w:numPr>
      </w:pPr>
      <w:r>
        <w:t>Critères d’identification des collaborateurs autorisés à accéder au DEP (= matrice des droits d’accès)</w:t>
      </w:r>
    </w:p>
    <w:p w:rsidR="009B6DE8" w:rsidRDefault="009B6DE8" w:rsidP="002B4D06">
      <w:pPr>
        <w:pStyle w:val="Paragraphedeliste"/>
        <w:numPr>
          <w:ilvl w:val="0"/>
          <w:numId w:val="1"/>
        </w:numPr>
      </w:pPr>
      <w:r>
        <w:t>Liste à jour des utilisateurs du DEP</w:t>
      </w:r>
    </w:p>
    <w:p w:rsidR="009B6DE8" w:rsidRDefault="009B6DE8" w:rsidP="002B4D06">
      <w:pPr>
        <w:pStyle w:val="Paragraphedeliste"/>
        <w:numPr>
          <w:ilvl w:val="0"/>
          <w:numId w:val="1"/>
        </w:numPr>
      </w:pPr>
      <w:r>
        <w:t>Plan de formation des utilisateurs du DEP</w:t>
      </w:r>
    </w:p>
    <w:p w:rsidR="00E84F92" w:rsidRDefault="00E84F92" w:rsidP="00E84F92">
      <w:r>
        <w:t xml:space="preserve">Ce recueil de documents constitue les preuves devant être apportées par </w:t>
      </w:r>
      <w:r w:rsidRPr="00AF06F8">
        <w:rPr>
          <w:highlight w:val="yellow"/>
        </w:rPr>
        <w:t>[Nom de l’institution]</w:t>
      </w:r>
      <w:r>
        <w:t xml:space="preserve"> lors d’audits internes et/ou externes à la CR DEP NE.</w:t>
      </w:r>
    </w:p>
    <w:p w:rsidR="00E84F92" w:rsidRDefault="00E84F92" w:rsidP="00FB54D2">
      <w:pPr>
        <w:pStyle w:val="Titre2"/>
      </w:pPr>
      <w:r>
        <w:t>Mesures de sécurité applicables</w:t>
      </w:r>
    </w:p>
    <w:p w:rsidR="00535769" w:rsidRPr="00535769" w:rsidRDefault="00535769" w:rsidP="00E84F92">
      <w:r w:rsidRPr="00535769">
        <w:t xml:space="preserve">Conformément au ch. 2.3 des CGU de Mon Dossier Santé, </w:t>
      </w:r>
      <w:r w:rsidRPr="00902C6E">
        <w:rPr>
          <w:highlight w:val="yellow"/>
        </w:rPr>
        <w:t>[Nom de l’institution]</w:t>
      </w:r>
      <w:r w:rsidRPr="00535769">
        <w:t xml:space="preserve"> s’engage à ne mettre à disposition des utilisateurs du DEP que des terminaux sûrs, répondant aux exigences suivantes :</w:t>
      </w:r>
    </w:p>
    <w:p w:rsidR="00535769" w:rsidRPr="00535769" w:rsidRDefault="00535769" w:rsidP="00535769">
      <w:pPr>
        <w:pStyle w:val="Paragraphedeliste"/>
        <w:numPr>
          <w:ilvl w:val="0"/>
          <w:numId w:val="2"/>
        </w:numPr>
      </w:pPr>
      <w:r w:rsidRPr="00535769">
        <w:lastRenderedPageBreak/>
        <w:t>U</w:t>
      </w:r>
      <w:r w:rsidR="00E84F92" w:rsidRPr="00535769">
        <w:t>tilisation de logiciels contre les programmes malveillants (p. ex. Antivirus) et de réseaux informatiques s</w:t>
      </w:r>
      <w:r w:rsidRPr="00535769">
        <w:t>écurisés (p. ex. Firewall)</w:t>
      </w:r>
    </w:p>
    <w:p w:rsidR="00535769" w:rsidRPr="00535769" w:rsidRDefault="00535769" w:rsidP="00535769">
      <w:pPr>
        <w:pStyle w:val="Paragraphedeliste"/>
        <w:numPr>
          <w:ilvl w:val="0"/>
          <w:numId w:val="2"/>
        </w:numPr>
      </w:pPr>
      <w:r w:rsidRPr="00535769">
        <w:t>M</w:t>
      </w:r>
      <w:r w:rsidR="00E84F92" w:rsidRPr="00535769">
        <w:t>ise à jour régulière et forcée des systèmes d’exploitation et des composants logiciels</w:t>
      </w:r>
    </w:p>
    <w:p w:rsidR="00E84F92" w:rsidRPr="00535769" w:rsidRDefault="00535769" w:rsidP="00535769">
      <w:pPr>
        <w:pStyle w:val="Paragraphedeliste"/>
        <w:numPr>
          <w:ilvl w:val="0"/>
          <w:numId w:val="2"/>
        </w:numPr>
      </w:pPr>
      <w:r w:rsidRPr="00535769">
        <w:t>G</w:t>
      </w:r>
      <w:r w:rsidR="00E84F92" w:rsidRPr="00535769">
        <w:t>estion restrictive des droits d’accès administrateurs, ainsi que des mesures techniques et organisationnelles forçan</w:t>
      </w:r>
      <w:r w:rsidRPr="00535769">
        <w:t>t le verrouillage des terminaux</w:t>
      </w:r>
    </w:p>
    <w:p w:rsidR="00E84F92" w:rsidRPr="00535769" w:rsidRDefault="00535769" w:rsidP="00E84F92">
      <w:r w:rsidRPr="00535769">
        <w:t xml:space="preserve">Toute exception aux mesures décrites ci-dessus est empêchée par </w:t>
      </w:r>
      <w:r w:rsidRPr="00535769">
        <w:rPr>
          <w:highlight w:val="yellow"/>
        </w:rPr>
        <w:t>à développer</w:t>
      </w:r>
      <w:r w:rsidRPr="00535769">
        <w:t>.</w:t>
      </w:r>
    </w:p>
    <w:p w:rsidR="00E84F92" w:rsidRDefault="00E84F92" w:rsidP="00FB54D2">
      <w:pPr>
        <w:pStyle w:val="Titre3"/>
      </w:pPr>
      <w:r>
        <w:t>Cas spécifique : télétravail</w:t>
      </w:r>
    </w:p>
    <w:p w:rsidR="00E84F92" w:rsidRDefault="00E84F92" w:rsidP="00E84F92">
      <w:r>
        <w:t>[</w:t>
      </w:r>
      <w:r w:rsidRPr="00DF4EC9">
        <w:rPr>
          <w:highlight w:val="yellow"/>
        </w:rPr>
        <w:t>Nom de l’institution</w:t>
      </w:r>
      <w:r>
        <w:t xml:space="preserve">] </w:t>
      </w:r>
      <w:r w:rsidR="00DF4EC9">
        <w:t>interdit</w:t>
      </w:r>
      <w:r>
        <w:t xml:space="preserve"> le télétravail</w:t>
      </w:r>
      <w:r w:rsidR="00DF4EC9">
        <w:t xml:space="preserve"> pour les utilisateurs du DEP au moyen d’une directive institutionnelle et/ou des contraintes techniques suivantes : </w:t>
      </w:r>
      <w:r w:rsidR="00DF4EC9" w:rsidRPr="00DF4EC9">
        <w:rPr>
          <w:highlight w:val="yellow"/>
        </w:rPr>
        <w:t>à développer</w:t>
      </w:r>
    </w:p>
    <w:p w:rsidR="00DF4EC9" w:rsidRDefault="00DF4EC9" w:rsidP="00E84F92">
      <w:proofErr w:type="gramStart"/>
      <w:r w:rsidRPr="00DF4EC9">
        <w:rPr>
          <w:highlight w:val="yellow"/>
        </w:rPr>
        <w:t>OU</w:t>
      </w:r>
      <w:proofErr w:type="gramEnd"/>
    </w:p>
    <w:p w:rsidR="00DF4EC9" w:rsidRPr="00E84F92" w:rsidRDefault="00DF4EC9" w:rsidP="00E84F92">
      <w:r>
        <w:t>[</w:t>
      </w:r>
      <w:r w:rsidRPr="00DF4EC9">
        <w:rPr>
          <w:highlight w:val="yellow"/>
        </w:rPr>
        <w:t>Nom de l’institution</w:t>
      </w:r>
      <w:r>
        <w:t xml:space="preserve">] autorise le télétravail à ses utilisateurs du DEP. Cependant, les mesures de sécurité applicables sont identiques à celles applicables au sein de l’institution et sont complétées par </w:t>
      </w:r>
      <w:r w:rsidRPr="00DF4EC9">
        <w:rPr>
          <w:highlight w:val="yellow"/>
        </w:rPr>
        <w:t>à développer</w:t>
      </w:r>
      <w:r>
        <w:t>.</w:t>
      </w:r>
    </w:p>
    <w:p w:rsidR="00E84F92" w:rsidRDefault="00E84F92" w:rsidP="00FB54D2">
      <w:pPr>
        <w:pStyle w:val="Titre2"/>
      </w:pPr>
      <w:r>
        <w:t>Gestion des incidents de sécurité</w:t>
      </w:r>
    </w:p>
    <w:p w:rsidR="00535769" w:rsidRDefault="00535769" w:rsidP="00E84F92">
      <w:r>
        <w:t>Conformément au ch. 2.2 des CGU Mon Dossier Santé</w:t>
      </w:r>
      <w:r w:rsidR="00735F71">
        <w:t xml:space="preserve"> et au processus générique « </w:t>
      </w:r>
      <w:r w:rsidR="00735F71" w:rsidRPr="00735F71">
        <w:t>Annonces obligatoires à la CR DEP NE</w:t>
      </w:r>
      <w:r w:rsidR="00735F71">
        <w:t> »</w:t>
      </w:r>
      <w:r>
        <w:t xml:space="preserve">, le processus de gestion des incidents de sécurité applicable au sein de </w:t>
      </w:r>
      <w:r w:rsidRPr="00902C6E">
        <w:rPr>
          <w:highlight w:val="yellow"/>
        </w:rPr>
        <w:t>[Nom de l’institution]</w:t>
      </w:r>
      <w:r>
        <w:t xml:space="preserve"> est le suivant :</w:t>
      </w:r>
    </w:p>
    <w:p w:rsidR="00535769" w:rsidRDefault="00535769" w:rsidP="00535769">
      <w:pPr>
        <w:pStyle w:val="Paragraphedeliste"/>
        <w:numPr>
          <w:ilvl w:val="0"/>
          <w:numId w:val="3"/>
        </w:numPr>
      </w:pPr>
      <w:r>
        <w:t>Détection d’un incident</w:t>
      </w:r>
    </w:p>
    <w:p w:rsidR="00535769" w:rsidRDefault="00535769" w:rsidP="00535769">
      <w:pPr>
        <w:pStyle w:val="Paragraphedeliste"/>
        <w:numPr>
          <w:ilvl w:val="0"/>
          <w:numId w:val="3"/>
        </w:numPr>
      </w:pPr>
      <w:r>
        <w:t>Évaluation initiale de l’incident</w:t>
      </w:r>
    </w:p>
    <w:p w:rsidR="00535769" w:rsidRDefault="00535769" w:rsidP="00535769">
      <w:pPr>
        <w:pStyle w:val="Paragraphedeliste"/>
        <w:numPr>
          <w:ilvl w:val="0"/>
          <w:numId w:val="3"/>
        </w:numPr>
      </w:pPr>
      <w:r>
        <w:t>Remplissage d’une fiche de non-conformité</w:t>
      </w:r>
      <w:r w:rsidR="00735F71">
        <w:t xml:space="preserve"> (FNC)</w:t>
      </w:r>
      <w:r>
        <w:rPr>
          <w:rStyle w:val="Appelnotedebasdep"/>
        </w:rPr>
        <w:footnoteReference w:id="1"/>
      </w:r>
    </w:p>
    <w:p w:rsidR="00735F71" w:rsidRDefault="00735F71" w:rsidP="00535769">
      <w:pPr>
        <w:pStyle w:val="Paragraphedeliste"/>
        <w:numPr>
          <w:ilvl w:val="0"/>
          <w:numId w:val="3"/>
        </w:numPr>
      </w:pPr>
      <w:r>
        <w:t>Transmission de la FNC à la CR DEP NE par e-mail (</w:t>
      </w:r>
      <w:hyperlink r:id="rId8" w:history="1">
        <w:r w:rsidRPr="00350987">
          <w:rPr>
            <w:rStyle w:val="Lienhypertexte"/>
          </w:rPr>
          <w:t>info@mondossiersante.ch</w:t>
        </w:r>
      </w:hyperlink>
      <w:r>
        <w:t>)</w:t>
      </w:r>
    </w:p>
    <w:p w:rsidR="00535769" w:rsidRDefault="00735F71" w:rsidP="00E84F92">
      <w:r>
        <w:t>En cas d’urgence, la CR DEP NE est immédiatement prévenue par téléphone (032 889 52 61).</w:t>
      </w:r>
    </w:p>
    <w:p w:rsidR="00D6186F" w:rsidRDefault="00D6186F" w:rsidP="00E84F92">
      <w:r w:rsidRPr="00D6186F">
        <w:t>Sont considérés comme des incidents tous les événements impactant la confidentialité, l’intégrité et/ou la disponibilité de l’information / des données.</w:t>
      </w:r>
      <w:r>
        <w:t xml:space="preserve"> Voici quelques exemples devant être annoncés à la CR DEP NE :</w:t>
      </w:r>
    </w:p>
    <w:p w:rsidR="00D6186F" w:rsidRDefault="00D6186F" w:rsidP="00D6186F">
      <w:pPr>
        <w:pStyle w:val="Paragraphedeliste"/>
        <w:numPr>
          <w:ilvl w:val="0"/>
          <w:numId w:val="5"/>
        </w:numPr>
      </w:pPr>
      <w:r>
        <w:t>Utilisation non-autorisée d’un mot de passe, usurpation d’identité, abus de droits</w:t>
      </w:r>
    </w:p>
    <w:p w:rsidR="00D6186F" w:rsidRDefault="00D6186F" w:rsidP="00D6186F">
      <w:pPr>
        <w:pStyle w:val="Paragraphedeliste"/>
        <w:numPr>
          <w:ilvl w:val="0"/>
          <w:numId w:val="5"/>
        </w:numPr>
      </w:pPr>
      <w:r>
        <w:t>Utilisation irrégulière ou illégale des systèmes informatiques (spam, piratage, etc.)</w:t>
      </w:r>
    </w:p>
    <w:p w:rsidR="00D6186F" w:rsidRDefault="00D6186F" w:rsidP="00D6186F">
      <w:pPr>
        <w:pStyle w:val="Paragraphedeliste"/>
        <w:numPr>
          <w:ilvl w:val="0"/>
          <w:numId w:val="5"/>
        </w:numPr>
      </w:pPr>
      <w:r>
        <w:t>Vol / perte de matériel informatique</w:t>
      </w:r>
    </w:p>
    <w:p w:rsidR="00D6186F" w:rsidRDefault="00D6186F" w:rsidP="00D6186F">
      <w:pPr>
        <w:pStyle w:val="Paragraphedeliste"/>
        <w:numPr>
          <w:ilvl w:val="0"/>
          <w:numId w:val="5"/>
        </w:numPr>
      </w:pPr>
      <w:r>
        <w:lastRenderedPageBreak/>
        <w:t>Intrusion physique dans les locaux ou intrusion informatique (programme, etc.)</w:t>
      </w:r>
    </w:p>
    <w:p w:rsidR="00D6186F" w:rsidRDefault="00D6186F" w:rsidP="00D6186F">
      <w:pPr>
        <w:pStyle w:val="Paragraphedeliste"/>
        <w:numPr>
          <w:ilvl w:val="0"/>
          <w:numId w:val="5"/>
        </w:numPr>
      </w:pPr>
      <w:r>
        <w:t>Divulgation de données sensibles</w:t>
      </w:r>
    </w:p>
    <w:p w:rsidR="00D6186F" w:rsidRDefault="00D6186F" w:rsidP="00D6186F">
      <w:pPr>
        <w:pStyle w:val="Paragraphedeliste"/>
        <w:numPr>
          <w:ilvl w:val="0"/>
          <w:numId w:val="5"/>
        </w:numPr>
      </w:pPr>
      <w:r>
        <w:t>Demandes d’information abusives (origine de la demande non garantie)</w:t>
      </w:r>
    </w:p>
    <w:p w:rsidR="00D6186F" w:rsidRDefault="00D6186F" w:rsidP="00D6186F">
      <w:pPr>
        <w:pStyle w:val="Paragraphedeliste"/>
        <w:numPr>
          <w:ilvl w:val="0"/>
          <w:numId w:val="5"/>
        </w:numPr>
      </w:pPr>
      <w:r>
        <w:t>Saturation / perturbation du système informatique (attaques DDOS, etc.)</w:t>
      </w:r>
    </w:p>
    <w:p w:rsidR="00D6186F" w:rsidRDefault="00D6186F" w:rsidP="00D6186F">
      <w:pPr>
        <w:pStyle w:val="Paragraphedeliste"/>
        <w:numPr>
          <w:ilvl w:val="0"/>
          <w:numId w:val="5"/>
        </w:numPr>
      </w:pPr>
      <w:r>
        <w:t>Non-respect des directives, règlements, mesures de sécurité par un collaborateur</w:t>
      </w:r>
    </w:p>
    <w:p w:rsidR="00D6186F" w:rsidRDefault="00D6186F" w:rsidP="00D6186F">
      <w:r>
        <w:t>En cas de doute, [</w:t>
      </w:r>
      <w:r w:rsidRPr="00D6186F">
        <w:rPr>
          <w:highlight w:val="yellow"/>
        </w:rPr>
        <w:t>Nom de l’institution</w:t>
      </w:r>
      <w:r>
        <w:t>] contacte le service d’assistance de la CR DEP NE.</w:t>
      </w:r>
    </w:p>
    <w:p w:rsidR="00E84F92" w:rsidRDefault="00E84F92" w:rsidP="00FB54D2">
      <w:pPr>
        <w:pStyle w:val="Titre2"/>
      </w:pPr>
      <w:r>
        <w:t>Revue des conditions d’accès au DEP</w:t>
      </w:r>
    </w:p>
    <w:p w:rsidR="00735F71" w:rsidRPr="00735F71" w:rsidRDefault="00735F71" w:rsidP="00E84F92">
      <w:r w:rsidRPr="00735F71">
        <w:t>[</w:t>
      </w:r>
      <w:r w:rsidRPr="00735F71">
        <w:rPr>
          <w:highlight w:val="yellow"/>
        </w:rPr>
        <w:t>Nom de l’institution</w:t>
      </w:r>
      <w:r w:rsidRPr="00735F71">
        <w:t>] s’engage à pouvoir mettre à disposition de la CR DEP NE une liste des utilisateurs du DEP en tout temps. Cela permet notamment à la CR DEP NE de :</w:t>
      </w:r>
    </w:p>
    <w:p w:rsidR="00735F71" w:rsidRPr="00735F71" w:rsidRDefault="00735F71" w:rsidP="00735F71">
      <w:pPr>
        <w:pStyle w:val="Paragraphedeliste"/>
        <w:numPr>
          <w:ilvl w:val="0"/>
          <w:numId w:val="4"/>
        </w:numPr>
      </w:pPr>
      <w:r w:rsidRPr="00735F71">
        <w:t>S’assurer que l</w:t>
      </w:r>
      <w:r w:rsidR="00DF4EC9" w:rsidRPr="00735F71">
        <w:t>es accès au DEP sont octroyés aux bonnes personnes et que celles</w:t>
      </w:r>
      <w:r w:rsidRPr="00735F71">
        <w:t>-ci n’abusent pas de cet accès.</w:t>
      </w:r>
    </w:p>
    <w:p w:rsidR="00DF4EC9" w:rsidRPr="00735F71" w:rsidRDefault="00735F71" w:rsidP="00735F71">
      <w:pPr>
        <w:pStyle w:val="Paragraphedeliste"/>
        <w:numPr>
          <w:ilvl w:val="0"/>
          <w:numId w:val="4"/>
        </w:numPr>
      </w:pPr>
      <w:r w:rsidRPr="00735F71">
        <w:t>S’assurer de la concordance des utilisateurs annoncés avec les comptes présents dans la base de données</w:t>
      </w:r>
    </w:p>
    <w:p w:rsidR="00735F71" w:rsidRDefault="00735F71" w:rsidP="00735F71">
      <w:pPr>
        <w:pStyle w:val="Paragraphedeliste"/>
        <w:numPr>
          <w:ilvl w:val="0"/>
          <w:numId w:val="4"/>
        </w:numPr>
      </w:pPr>
      <w:r w:rsidRPr="00735F71">
        <w:t>S’assurer que toutes les annonces organisationnelles (p. ex. changement de nom) ont été faites, conformément au ch. 2.2 des CGU Mon Dossier Santé</w:t>
      </w:r>
    </w:p>
    <w:p w:rsidR="00D6186F" w:rsidRPr="00735F71" w:rsidRDefault="00D6186F" w:rsidP="00D6186F">
      <w:r w:rsidRPr="00D6186F">
        <w:rPr>
          <w:highlight w:val="yellow"/>
        </w:rPr>
        <w:t>[Nom de l’institution] accède à Mon Dossier Santé de manière intégrée à so</w:t>
      </w:r>
      <w:r w:rsidR="00815E20">
        <w:rPr>
          <w:highlight w:val="yellow"/>
        </w:rPr>
        <w:t>n système primaire, qui est XY.</w:t>
      </w:r>
    </w:p>
    <w:p w:rsidR="00E84F92" w:rsidRDefault="00823172" w:rsidP="00FB54D2">
      <w:pPr>
        <w:pStyle w:val="Titre2"/>
      </w:pPr>
      <w:r>
        <w:t>Assistance aux utilisateurs</w:t>
      </w:r>
    </w:p>
    <w:p w:rsidR="00BB13E6" w:rsidRDefault="00BB13E6" w:rsidP="00735F71">
      <w:r w:rsidRPr="00BB13E6">
        <w:rPr>
          <w:highlight w:val="yellow"/>
        </w:rPr>
        <w:t>[Nom de l’institution] dispose</w:t>
      </w:r>
      <w:r w:rsidR="00D6186F">
        <w:rPr>
          <w:highlight w:val="yellow"/>
        </w:rPr>
        <w:t xml:space="preserve"> (à décrire)</w:t>
      </w:r>
      <w:r w:rsidRPr="00BB13E6">
        <w:rPr>
          <w:highlight w:val="yellow"/>
        </w:rPr>
        <w:t xml:space="preserve"> / ne dispose pas</w:t>
      </w:r>
      <w:r>
        <w:t xml:space="preserve"> d’un service informatique de 1</w:t>
      </w:r>
      <w:r w:rsidRPr="00BB13E6">
        <w:rPr>
          <w:vertAlign w:val="superscript"/>
        </w:rPr>
        <w:t>er</w:t>
      </w:r>
      <w:r>
        <w:t xml:space="preserve"> niveau</w:t>
      </w:r>
      <w:r w:rsidR="00902C6E">
        <w:t xml:space="preserve"> </w:t>
      </w:r>
      <w:r w:rsidR="00902C6E" w:rsidRPr="00902C6E">
        <w:rPr>
          <w:highlight w:val="yellow"/>
        </w:rPr>
        <w:t>(= prestataire informatique, p. ex. informaticien mettant à jour les machines)</w:t>
      </w:r>
      <w:r>
        <w:t>.</w:t>
      </w:r>
    </w:p>
    <w:p w:rsidR="00735F71" w:rsidRDefault="00BB13E6" w:rsidP="00735F71">
      <w:r>
        <w:t>En cas de besoin et c</w:t>
      </w:r>
      <w:r w:rsidR="00735F71">
        <w:t>onformément au processus « Fonctionnement du service d’assistance (Prestataires de soins) »</w:t>
      </w:r>
      <w:r>
        <w:t xml:space="preserve"> fourni par la CR DEP NE</w:t>
      </w:r>
      <w:r w:rsidR="00735F71">
        <w:t xml:space="preserve">, les utilisateurs du DEP peuvent faire appel au service d’assistance </w:t>
      </w:r>
      <w:r>
        <w:t>Mon Dossier Santé.</w:t>
      </w:r>
    </w:p>
    <w:p w:rsidR="00BB13E6" w:rsidRDefault="00BB13E6" w:rsidP="00735F71">
      <w:r>
        <w:t xml:space="preserve">Celui-ci est atteignable en semaine, durant les heures de bureau : </w:t>
      </w:r>
    </w:p>
    <w:p w:rsidR="00BB13E6" w:rsidRDefault="00BB13E6" w:rsidP="00735F71">
      <w:r w:rsidRPr="00BB13E6">
        <w:rPr>
          <w:b/>
        </w:rPr>
        <w:t>E-mail :</w:t>
      </w:r>
      <w:r>
        <w:tab/>
        <w:t>info@mondossiersante.ch</w:t>
      </w:r>
    </w:p>
    <w:p w:rsidR="00BB13E6" w:rsidRPr="00735F71" w:rsidRDefault="00BB13E6" w:rsidP="00735F71">
      <w:r w:rsidRPr="00BB13E6">
        <w:rPr>
          <w:b/>
        </w:rPr>
        <w:t>Téléphone :</w:t>
      </w:r>
      <w:r>
        <w:tab/>
        <w:t>+41 32 889 52 61</w:t>
      </w:r>
    </w:p>
    <w:sectPr w:rsidR="00BB13E6" w:rsidRPr="00735F71" w:rsidSect="007D454A">
      <w:headerReference w:type="default" r:id="rId9"/>
      <w:footerReference w:type="default" r:id="rId10"/>
      <w:pgSz w:w="11906" w:h="16838"/>
      <w:pgMar w:top="1418" w:right="851" w:bottom="1418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5D" w:rsidRDefault="009B5E5D" w:rsidP="00320FE8">
      <w:pPr>
        <w:spacing w:after="0" w:line="240" w:lineRule="auto"/>
      </w:pPr>
      <w:r>
        <w:separator/>
      </w:r>
    </w:p>
  </w:endnote>
  <w:endnote w:type="continuationSeparator" w:id="0">
    <w:p w:rsidR="009B5E5D" w:rsidRDefault="009B5E5D" w:rsidP="0032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6F" w:rsidRPr="00D6186F" w:rsidRDefault="00D6186F" w:rsidP="00D618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5D" w:rsidRDefault="009B5E5D" w:rsidP="00320FE8">
      <w:pPr>
        <w:spacing w:after="0" w:line="240" w:lineRule="auto"/>
      </w:pPr>
      <w:r>
        <w:separator/>
      </w:r>
    </w:p>
  </w:footnote>
  <w:footnote w:type="continuationSeparator" w:id="0">
    <w:p w:rsidR="009B5E5D" w:rsidRDefault="009B5E5D" w:rsidP="00320FE8">
      <w:pPr>
        <w:spacing w:after="0" w:line="240" w:lineRule="auto"/>
      </w:pPr>
      <w:r>
        <w:continuationSeparator/>
      </w:r>
    </w:p>
  </w:footnote>
  <w:footnote w:id="1">
    <w:p w:rsidR="00535769" w:rsidRDefault="00535769">
      <w:pPr>
        <w:pStyle w:val="Notedebasdepage"/>
      </w:pPr>
      <w:r w:rsidRPr="00735F71">
        <w:rPr>
          <w:rStyle w:val="Appelnotedebasdep"/>
          <w:sz w:val="18"/>
        </w:rPr>
        <w:footnoteRef/>
      </w:r>
      <w:r w:rsidRPr="00735F71">
        <w:rPr>
          <w:sz w:val="18"/>
        </w:rPr>
        <w:t xml:space="preserve"> Disponible à l’adresse suivante, rubrique « Institutions de santé » : </w:t>
      </w:r>
      <w:hyperlink r:id="rId1" w:history="1">
        <w:r w:rsidR="00735F71" w:rsidRPr="00735F71">
          <w:rPr>
            <w:rStyle w:val="Lienhypertexte"/>
            <w:sz w:val="18"/>
          </w:rPr>
          <w:t>https://www.mondossiersante.ch/telechargements/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CD6" w:rsidRDefault="00AE1CD6" w:rsidP="00AE1CD6">
    <w:pPr>
      <w:pStyle w:val="En-tte"/>
      <w:jc w:val="center"/>
      <w:rPr>
        <w:rFonts w:ascii="Times New Roman" w:hAnsi="Times New Roman"/>
        <w:sz w:val="20"/>
      </w:rPr>
    </w:pPr>
    <w:r>
      <w:rPr>
        <w:highlight w:val="yellow"/>
      </w:rPr>
      <w:t>Logo institutionnel</w:t>
    </w:r>
  </w:p>
  <w:p w:rsidR="00122A54" w:rsidRDefault="00122A54">
    <w:pPr>
      <w:pStyle w:val="En-tte"/>
      <w:rPr>
        <w:noProof/>
        <w:lang w:eastAsia="fr-CH"/>
      </w:rPr>
    </w:pPr>
    <w:r>
      <w:rPr>
        <w:noProof/>
        <w:lang w:eastAsia="fr-CH"/>
      </w:rPr>
      <w:t xml:space="preserve">Page </w:t>
    </w:r>
    <w:r>
      <w:rPr>
        <w:noProof/>
        <w:lang w:eastAsia="fr-CH"/>
      </w:rPr>
      <w:fldChar w:fldCharType="begin"/>
    </w:r>
    <w:r>
      <w:rPr>
        <w:noProof/>
        <w:lang w:eastAsia="fr-CH"/>
      </w:rPr>
      <w:instrText xml:space="preserve"> PAGE   \* MERGEFORMAT </w:instrText>
    </w:r>
    <w:r>
      <w:rPr>
        <w:noProof/>
        <w:lang w:eastAsia="fr-CH"/>
      </w:rPr>
      <w:fldChar w:fldCharType="separate"/>
    </w:r>
    <w:r w:rsidR="00011D37">
      <w:rPr>
        <w:noProof/>
        <w:lang w:eastAsia="fr-CH"/>
      </w:rPr>
      <w:t>3</w:t>
    </w:r>
    <w:r>
      <w:rPr>
        <w:noProof/>
        <w:lang w:eastAsia="fr-C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294"/>
    <w:multiLevelType w:val="hybridMultilevel"/>
    <w:tmpl w:val="580E698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71AF3"/>
    <w:multiLevelType w:val="hybridMultilevel"/>
    <w:tmpl w:val="38382B2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80D6E"/>
    <w:multiLevelType w:val="hybridMultilevel"/>
    <w:tmpl w:val="AA40DEE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455E6"/>
    <w:multiLevelType w:val="hybridMultilevel"/>
    <w:tmpl w:val="4536A2C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74702"/>
    <w:multiLevelType w:val="hybridMultilevel"/>
    <w:tmpl w:val="BDC0E67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5D"/>
    <w:rsid w:val="00011D37"/>
    <w:rsid w:val="00084EC4"/>
    <w:rsid w:val="00122A54"/>
    <w:rsid w:val="001D20AE"/>
    <w:rsid w:val="001E111C"/>
    <w:rsid w:val="0024045D"/>
    <w:rsid w:val="00275C09"/>
    <w:rsid w:val="002B4D06"/>
    <w:rsid w:val="00320FE8"/>
    <w:rsid w:val="003561F8"/>
    <w:rsid w:val="003833FB"/>
    <w:rsid w:val="003D4139"/>
    <w:rsid w:val="00535769"/>
    <w:rsid w:val="00542516"/>
    <w:rsid w:val="00556010"/>
    <w:rsid w:val="005B2113"/>
    <w:rsid w:val="005D6C13"/>
    <w:rsid w:val="00735F71"/>
    <w:rsid w:val="00751CE5"/>
    <w:rsid w:val="007D454A"/>
    <w:rsid w:val="00815E20"/>
    <w:rsid w:val="00823172"/>
    <w:rsid w:val="009009AB"/>
    <w:rsid w:val="00902C6E"/>
    <w:rsid w:val="009B5E5D"/>
    <w:rsid w:val="009B6DE8"/>
    <w:rsid w:val="009F0368"/>
    <w:rsid w:val="00A35ADA"/>
    <w:rsid w:val="00A44B7D"/>
    <w:rsid w:val="00AE1CD6"/>
    <w:rsid w:val="00AF06F8"/>
    <w:rsid w:val="00AF49D4"/>
    <w:rsid w:val="00BB13E6"/>
    <w:rsid w:val="00BD67C0"/>
    <w:rsid w:val="00C0410A"/>
    <w:rsid w:val="00D405B4"/>
    <w:rsid w:val="00D6186F"/>
    <w:rsid w:val="00DF4EC9"/>
    <w:rsid w:val="00E548F5"/>
    <w:rsid w:val="00E84F92"/>
    <w:rsid w:val="00EC5EA8"/>
    <w:rsid w:val="00ED10F8"/>
    <w:rsid w:val="00FB1559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537AE9E"/>
  <w15:chartTrackingRefBased/>
  <w15:docId w15:val="{E7963734-6B27-4C95-85B2-DBB9138E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EA8"/>
    <w:pPr>
      <w:spacing w:after="120" w:line="360" w:lineRule="auto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E111C"/>
    <w:pPr>
      <w:keepNext/>
      <w:keepLines/>
      <w:spacing w:before="240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E111C"/>
    <w:pPr>
      <w:keepNext/>
      <w:keepLines/>
      <w:spacing w:before="240"/>
      <w:ind w:left="170"/>
      <w:outlineLvl w:val="1"/>
    </w:pPr>
    <w:rPr>
      <w:rFonts w:eastAsiaTheme="majorEastAsia" w:cstheme="majorBidi"/>
      <w:b/>
      <w:color w:val="1F4E79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1559"/>
    <w:pPr>
      <w:keepNext/>
      <w:keepLines/>
      <w:spacing w:before="240"/>
      <w:ind w:left="340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1559"/>
    <w:pPr>
      <w:keepNext/>
      <w:keepLines/>
      <w:spacing w:before="240"/>
      <w:ind w:left="51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111C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E111C"/>
    <w:rPr>
      <w:rFonts w:ascii="Arial" w:eastAsiaTheme="majorEastAsia" w:hAnsi="Arial" w:cstheme="majorBidi"/>
      <w:b/>
      <w:color w:val="1F4E79" w:themeColor="accent1" w:themeShade="8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B1559"/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D10F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ED10F8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32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FE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32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FE8"/>
    <w:rPr>
      <w:rFonts w:ascii="Arial" w:hAnsi="Arial"/>
    </w:rPr>
  </w:style>
  <w:style w:type="character" w:customStyle="1" w:styleId="Titre4Car">
    <w:name w:val="Titre 4 Car"/>
    <w:basedOn w:val="Policepardfaut"/>
    <w:link w:val="Titre4"/>
    <w:uiPriority w:val="9"/>
    <w:rsid w:val="00FB15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AF49D4"/>
    <w:pPr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AF49D4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AF49D4"/>
    <w:pPr>
      <w:spacing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AF49D4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AF49D4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AF49D4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AF49D4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AF49D4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AF49D4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B4D0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57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5769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576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ndossiersant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ndossiersante.ch/telechargement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8E30-2A0A-465F-A28D-CAC3EDCA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Feissli Mickael</dc:creator>
  <cp:keywords/>
  <dc:description/>
  <cp:lastModifiedBy>Fontanet Marc</cp:lastModifiedBy>
  <cp:revision>12</cp:revision>
  <dcterms:created xsi:type="dcterms:W3CDTF">2022-03-29T10:18:00Z</dcterms:created>
  <dcterms:modified xsi:type="dcterms:W3CDTF">2024-07-10T08:52:00Z</dcterms:modified>
</cp:coreProperties>
</file>